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12673" w14:textId="73D693D8" w:rsidR="00C14F6F" w:rsidRPr="00017F17" w:rsidRDefault="00886BDF" w:rsidP="00017F17">
      <w:pPr>
        <w:jc w:val="center"/>
        <w:rPr>
          <w:b/>
          <w:bCs/>
        </w:rPr>
      </w:pPr>
      <w:r w:rsidRPr="00017F17">
        <w:rPr>
          <w:b/>
          <w:bCs/>
        </w:rPr>
        <w:t>Placing Platform</w:t>
      </w:r>
      <w:r w:rsidR="00D06234">
        <w:rPr>
          <w:b/>
          <w:bCs/>
        </w:rPr>
        <w:t xml:space="preserve"> Guidance</w:t>
      </w:r>
      <w:r w:rsidR="003528F0">
        <w:rPr>
          <w:b/>
          <w:bCs/>
        </w:rPr>
        <w:t xml:space="preserve"> </w:t>
      </w:r>
    </w:p>
    <w:p w14:paraId="054C9A32" w14:textId="6DBF59D5" w:rsidR="00886BDF" w:rsidRDefault="00886BDF"/>
    <w:p w14:paraId="3CF7526E" w14:textId="51443186" w:rsidR="00A70167" w:rsidRDefault="00886BDF" w:rsidP="00A70167">
      <w:r>
        <w:t xml:space="preserve">Since 2016, the London Market has adopted the use of Placing Platforms as </w:t>
      </w:r>
      <w:r w:rsidR="00DD2A03">
        <w:t>its</w:t>
      </w:r>
      <w:r>
        <w:t xml:space="preserve"> primary medium for binding risks</w:t>
      </w:r>
      <w:r w:rsidR="00AD6258">
        <w:t xml:space="preserve">. </w:t>
      </w:r>
      <w:r w:rsidR="00BD48AF">
        <w:t>Th</w:t>
      </w:r>
      <w:r w:rsidR="00BF6EA7">
        <w:t xml:space="preserve">e switch from paper to electronic </w:t>
      </w:r>
      <w:r w:rsidR="000617FB">
        <w:t>placing</w:t>
      </w:r>
      <w:r w:rsidR="00BF6EA7">
        <w:t xml:space="preserve"> </w:t>
      </w:r>
      <w:r w:rsidR="00BD48AF">
        <w:t>has s</w:t>
      </w:r>
      <w:r w:rsidR="00F66C82">
        <w:t>een a</w:t>
      </w:r>
      <w:r w:rsidR="00FD731A">
        <w:t xml:space="preserve"> seismic</w:t>
      </w:r>
      <w:r w:rsidR="00F66C82">
        <w:t xml:space="preserve"> change in working practices</w:t>
      </w:r>
      <w:r w:rsidR="00D47AB9">
        <w:t xml:space="preserve">, </w:t>
      </w:r>
      <w:r w:rsidR="00332BF4">
        <w:t>resulting in</w:t>
      </w:r>
      <w:r w:rsidR="00537F2B">
        <w:t xml:space="preserve"> clear operational benefits</w:t>
      </w:r>
      <w:r w:rsidR="00FD731A">
        <w:t xml:space="preserve"> and </w:t>
      </w:r>
      <w:r w:rsidR="00423327">
        <w:t>efficiencies</w:t>
      </w:r>
      <w:r w:rsidR="00986A3E">
        <w:t xml:space="preserve"> being achieved</w:t>
      </w:r>
      <w:r w:rsidR="00AD6258">
        <w:t xml:space="preserve">. </w:t>
      </w:r>
      <w:r w:rsidR="002B7BFB">
        <w:t>However</w:t>
      </w:r>
      <w:r w:rsidR="006B49B7">
        <w:t>,</w:t>
      </w:r>
      <w:r w:rsidR="002B7BFB">
        <w:t xml:space="preserve"> the</w:t>
      </w:r>
      <w:r w:rsidR="00ED0E6B">
        <w:t xml:space="preserve"> use of Placing Platforms </w:t>
      </w:r>
      <w:r w:rsidR="002B7BFB">
        <w:t xml:space="preserve">needs to be </w:t>
      </w:r>
      <w:r w:rsidR="00A966D2">
        <w:t>consistent</w:t>
      </w:r>
      <w:r w:rsidR="005E740A">
        <w:t xml:space="preserve">. </w:t>
      </w:r>
      <w:r w:rsidR="003E233E">
        <w:t xml:space="preserve">This consistency will </w:t>
      </w:r>
      <w:r w:rsidR="005539BB">
        <w:t>mean</w:t>
      </w:r>
      <w:r w:rsidR="00A70167">
        <w:t xml:space="preserve"> the London Market </w:t>
      </w:r>
      <w:r w:rsidR="00250B42">
        <w:t xml:space="preserve">can </w:t>
      </w:r>
      <w:r w:rsidR="003E233E">
        <w:t>continu</w:t>
      </w:r>
      <w:r w:rsidR="005539BB">
        <w:t>e</w:t>
      </w:r>
      <w:r w:rsidR="003E233E">
        <w:t xml:space="preserve"> to be </w:t>
      </w:r>
      <w:r w:rsidR="00883959">
        <w:t xml:space="preserve">an </w:t>
      </w:r>
      <w:r w:rsidR="003E233E">
        <w:t xml:space="preserve">attractive and </w:t>
      </w:r>
      <w:r w:rsidR="00883959">
        <w:t xml:space="preserve">effective place for clients </w:t>
      </w:r>
      <w:r w:rsidR="001C1ADA">
        <w:t>to place their risks</w:t>
      </w:r>
      <w:r w:rsidR="005539BB">
        <w:t>,</w:t>
      </w:r>
      <w:r w:rsidR="001C1ADA">
        <w:t xml:space="preserve"> while </w:t>
      </w:r>
      <w:r w:rsidR="00A70167">
        <w:t>ensur</w:t>
      </w:r>
      <w:r w:rsidR="001C1ADA">
        <w:t>ing</w:t>
      </w:r>
      <w:r w:rsidR="00A70167">
        <w:t xml:space="preserve"> its services are not adversely affected</w:t>
      </w:r>
      <w:r w:rsidR="005E740A">
        <w:t xml:space="preserve">. </w:t>
      </w:r>
    </w:p>
    <w:p w14:paraId="7E502DBC" w14:textId="411EDC6C" w:rsidR="006D10F7" w:rsidRDefault="006D10F7" w:rsidP="006D10F7">
      <w:r>
        <w:t xml:space="preserve">To this end, </w:t>
      </w:r>
      <w:r w:rsidRPr="008D3D7F">
        <w:t>the IUA</w:t>
      </w:r>
      <w:r w:rsidR="2AF9468A" w:rsidRPr="008D3D7F">
        <w:t xml:space="preserve"> and LMA</w:t>
      </w:r>
      <w:r>
        <w:t xml:space="preserve"> have decided to review and re-issue </w:t>
      </w:r>
      <w:r w:rsidR="00C873F9">
        <w:t xml:space="preserve">the </w:t>
      </w:r>
      <w:r>
        <w:t xml:space="preserve">guidance originally shared in 2018. </w:t>
      </w:r>
      <w:r w:rsidR="003224D8">
        <w:t>As part of the review, it was identified that although s</w:t>
      </w:r>
      <w:r>
        <w:t xml:space="preserve">ome </w:t>
      </w:r>
      <w:r w:rsidR="003224D8">
        <w:t xml:space="preserve">of the </w:t>
      </w:r>
      <w:r>
        <w:t xml:space="preserve">original guidance areas have been fully adopted, are working well and have been successfully embedded, others have become more predominant and require </w:t>
      </w:r>
      <w:r w:rsidR="00A07ED8">
        <w:t xml:space="preserve">a </w:t>
      </w:r>
      <w:r>
        <w:t>renewed focus by the market</w:t>
      </w:r>
      <w:r w:rsidR="00F442C4">
        <w:t>.</w:t>
      </w:r>
      <w:r>
        <w:t xml:space="preserve"> </w:t>
      </w:r>
    </w:p>
    <w:p w14:paraId="76C20AC9" w14:textId="10142421" w:rsidR="006D10F7" w:rsidRDefault="006D10F7" w:rsidP="006D10F7">
      <w:r>
        <w:t xml:space="preserve">This guidance </w:t>
      </w:r>
      <w:r w:rsidR="001C5DDD">
        <w:t>seeks</w:t>
      </w:r>
      <w:r>
        <w:t xml:space="preserve"> to reiterate </w:t>
      </w:r>
      <w:r w:rsidR="001D341D">
        <w:t xml:space="preserve">that </w:t>
      </w:r>
      <w:r>
        <w:t xml:space="preserve">it is essential </w:t>
      </w:r>
      <w:r w:rsidR="00D638C4">
        <w:t>for</w:t>
      </w:r>
      <w:r>
        <w:t xml:space="preserve"> risk information </w:t>
      </w:r>
      <w:r w:rsidR="00D638C4">
        <w:t>to be</w:t>
      </w:r>
      <w:r>
        <w:t xml:space="preserve"> presented appropriately and responded to in a timely manner</w:t>
      </w:r>
      <w:r w:rsidR="004B08ED">
        <w:t xml:space="preserve"> by</w:t>
      </w:r>
      <w:r>
        <w:t xml:space="preserve"> utilising electronic </w:t>
      </w:r>
      <w:r w:rsidR="00D638C4">
        <w:t>P</w:t>
      </w:r>
      <w:r>
        <w:t>lac</w:t>
      </w:r>
      <w:r w:rsidR="00D638C4">
        <w:t>ing</w:t>
      </w:r>
      <w:r>
        <w:t xml:space="preserve"> </w:t>
      </w:r>
      <w:r w:rsidR="00D638C4">
        <w:t>P</w:t>
      </w:r>
      <w:r w:rsidR="00097AB5">
        <w:t>latforms</w:t>
      </w:r>
      <w:r w:rsidR="00AD6258">
        <w:t xml:space="preserve">. </w:t>
      </w:r>
      <w:r w:rsidR="004B08ED">
        <w:t xml:space="preserve">The </w:t>
      </w:r>
      <w:r>
        <w:t xml:space="preserve">use of face-to-face negotiation continues </w:t>
      </w:r>
      <w:r w:rsidR="00757523">
        <w:t>as required</w:t>
      </w:r>
      <w:r w:rsidR="005E740A">
        <w:t xml:space="preserve">. </w:t>
      </w:r>
    </w:p>
    <w:p w14:paraId="0BDB3B57" w14:textId="77777777" w:rsidR="00AE51B0" w:rsidRDefault="00AE51B0" w:rsidP="006D10F7"/>
    <w:p w14:paraId="3809A5F8" w14:textId="212701B9" w:rsidR="00017F17" w:rsidRPr="00017F17" w:rsidRDefault="00017F17" w:rsidP="006D10F7">
      <w:pPr>
        <w:rPr>
          <w:b/>
          <w:bCs/>
          <w:u w:val="single"/>
        </w:rPr>
      </w:pPr>
      <w:r w:rsidRPr="00017F17">
        <w:rPr>
          <w:b/>
          <w:bCs/>
          <w:u w:val="single"/>
        </w:rPr>
        <w:t>Guidance &amp; Best Practice</w:t>
      </w:r>
    </w:p>
    <w:p w14:paraId="1AA0EDFA" w14:textId="3B15909C" w:rsidR="00B2740D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>In acknowledgement that electronic placement supports face-to-face negotiation but still requires timely action</w:t>
      </w:r>
      <w:r w:rsidR="00361BA6">
        <w:t>;</w:t>
      </w:r>
      <w:r w:rsidRPr="00017F17">
        <w:t xml:space="preserve"> electronic </w:t>
      </w:r>
      <w:r w:rsidR="003C47F5">
        <w:t>P</w:t>
      </w:r>
      <w:r w:rsidRPr="00017F17">
        <w:t>lac</w:t>
      </w:r>
      <w:r w:rsidR="003C47F5">
        <w:t>ing</w:t>
      </w:r>
      <w:r w:rsidRPr="00017F17">
        <w:t xml:space="preserve"> </w:t>
      </w:r>
      <w:r w:rsidR="003C47F5">
        <w:t>P</w:t>
      </w:r>
      <w:r w:rsidR="00201F55">
        <w:t>latforms</w:t>
      </w:r>
      <w:r w:rsidRPr="00017F17">
        <w:t xml:space="preserve"> </w:t>
      </w:r>
      <w:r w:rsidR="00361BA6">
        <w:t xml:space="preserve">users </w:t>
      </w:r>
      <w:r w:rsidRPr="00017F17">
        <w:t>should factor the</w:t>
      </w:r>
      <w:r w:rsidR="00D34653">
        <w:t>ir</w:t>
      </w:r>
      <w:r w:rsidRPr="00017F17">
        <w:t xml:space="preserve"> use into their working day to ensure</w:t>
      </w:r>
      <w:r w:rsidR="00253FA5">
        <w:t xml:space="preserve"> electronic</w:t>
      </w:r>
      <w:r w:rsidRPr="00017F17">
        <w:t xml:space="preserve"> submissions are given the highest priority. </w:t>
      </w:r>
    </w:p>
    <w:p w14:paraId="3DDB96EA" w14:textId="2B005E61" w:rsidR="0071029A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>All broker</w:t>
      </w:r>
      <w:r w:rsidR="00A577E6">
        <w:t xml:space="preserve"> users</w:t>
      </w:r>
      <w:r w:rsidRPr="00017F17">
        <w:t xml:space="preserve"> will provide timely presentation of business via electronic </w:t>
      </w:r>
      <w:r w:rsidR="007A30A9">
        <w:t>P</w:t>
      </w:r>
      <w:r w:rsidRPr="00017F17">
        <w:t>lac</w:t>
      </w:r>
      <w:r w:rsidR="007A30A9">
        <w:t>ing</w:t>
      </w:r>
      <w:r w:rsidRPr="00017F17">
        <w:t xml:space="preserve"> </w:t>
      </w:r>
      <w:r w:rsidR="007A30A9">
        <w:t>P</w:t>
      </w:r>
      <w:r w:rsidR="00CF37CF">
        <w:t>latform</w:t>
      </w:r>
      <w:r w:rsidRPr="00017F17">
        <w:t xml:space="preserve">s to an appropriate number of underwriter(s) that have been carefully selected to best meet the needs of their client. </w:t>
      </w:r>
    </w:p>
    <w:p w14:paraId="2215AE46" w14:textId="58AE1671" w:rsidR="00017F17" w:rsidRPr="00017F17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>Carriers can expect their broker counterparties to present all relevant information</w:t>
      </w:r>
      <w:r w:rsidR="00201F55">
        <w:t xml:space="preserve"> via electronic </w:t>
      </w:r>
      <w:r w:rsidR="00E13175">
        <w:t>P</w:t>
      </w:r>
      <w:r w:rsidR="00201F55">
        <w:t>lac</w:t>
      </w:r>
      <w:r w:rsidR="00E13175">
        <w:t>ing</w:t>
      </w:r>
      <w:r w:rsidR="00201F55">
        <w:t xml:space="preserve"> </w:t>
      </w:r>
      <w:r w:rsidR="00E13175">
        <w:t>P</w:t>
      </w:r>
      <w:r w:rsidR="00201F55">
        <w:t>latforms</w:t>
      </w:r>
      <w:r w:rsidRPr="00017F17">
        <w:t xml:space="preserve">, appropriately signposted, to enable underwriters to perform a reasonable assessment of a risk. </w:t>
      </w:r>
    </w:p>
    <w:p w14:paraId="5318E737" w14:textId="69361E3A" w:rsidR="00EE035D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 xml:space="preserve">Brokers can expect that underwriters will assist </w:t>
      </w:r>
      <w:r w:rsidR="00DE0BC3">
        <w:t xml:space="preserve">in the </w:t>
      </w:r>
      <w:r w:rsidRPr="00017F17">
        <w:t xml:space="preserve">management of client expectations by acknowledging receipt of business presented on electronic </w:t>
      </w:r>
      <w:r w:rsidR="00E13175">
        <w:t>P</w:t>
      </w:r>
      <w:r w:rsidRPr="00017F17">
        <w:t>lac</w:t>
      </w:r>
      <w:r w:rsidR="00E13175">
        <w:t>ing</w:t>
      </w:r>
      <w:r w:rsidRPr="00017F17">
        <w:t xml:space="preserve"> </w:t>
      </w:r>
      <w:r w:rsidR="00E13175">
        <w:t>P</w:t>
      </w:r>
      <w:r w:rsidR="00C350B0">
        <w:t>latform</w:t>
      </w:r>
      <w:r w:rsidR="00E13175">
        <w:t>s</w:t>
      </w:r>
      <w:r w:rsidRPr="00017F17">
        <w:t xml:space="preserve"> as soon as possible</w:t>
      </w:r>
      <w:r w:rsidR="00102C1F">
        <w:t xml:space="preserve">; </w:t>
      </w:r>
      <w:r w:rsidR="00496176">
        <w:t>all</w:t>
      </w:r>
      <w:r w:rsidR="00CC74BE" w:rsidRPr="00CC74BE">
        <w:t xml:space="preserve"> response</w:t>
      </w:r>
      <w:r w:rsidR="00496176">
        <w:t>s</w:t>
      </w:r>
      <w:r w:rsidR="00CC74BE" w:rsidRPr="00CC74BE">
        <w:t xml:space="preserve"> should not be </w:t>
      </w:r>
      <w:r w:rsidR="00930AB2">
        <w:t>more than</w:t>
      </w:r>
      <w:r w:rsidR="00CC74BE" w:rsidRPr="00CC74BE">
        <w:t xml:space="preserve"> </w:t>
      </w:r>
      <w:r w:rsidR="00C350B0">
        <w:t>1 working day</w:t>
      </w:r>
      <w:r w:rsidR="00AD6258" w:rsidRPr="00017F17">
        <w:t xml:space="preserve">. </w:t>
      </w:r>
      <w:r w:rsidR="00CB4DA8">
        <w:t>Best practice would be an acknowledgement with</w:t>
      </w:r>
      <w:r w:rsidR="008F0F31">
        <w:t>in</w:t>
      </w:r>
      <w:r w:rsidR="00CB4DA8">
        <w:t xml:space="preserve"> 2-3 hours.</w:t>
      </w:r>
    </w:p>
    <w:p w14:paraId="7C56EB82" w14:textId="21D71027" w:rsidR="00017F17" w:rsidRPr="00017F17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>Brokers and carriers should continue to communicate expected</w:t>
      </w:r>
      <w:r w:rsidR="00395A4F">
        <w:t xml:space="preserve"> </w:t>
      </w:r>
      <w:r w:rsidR="00EF4483">
        <w:t>response</w:t>
      </w:r>
      <w:r w:rsidR="00EF4483" w:rsidRPr="00017F17">
        <w:t xml:space="preserve"> timescales</w:t>
      </w:r>
      <w:r w:rsidRPr="00017F17">
        <w:t xml:space="preserve"> throughout their negotiations</w:t>
      </w:r>
      <w:r w:rsidR="00D529D0">
        <w:t xml:space="preserve"> to manage expectations</w:t>
      </w:r>
      <w:r w:rsidRPr="00017F17">
        <w:t xml:space="preserve">. </w:t>
      </w:r>
    </w:p>
    <w:p w14:paraId="068F6A97" w14:textId="635ECC60" w:rsidR="00017F17" w:rsidRPr="00017F17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 xml:space="preserve">Carriers will give a final response </w:t>
      </w:r>
      <w:r w:rsidR="00AE6F4C">
        <w:t>in a timely manner</w:t>
      </w:r>
      <w:r w:rsidRPr="00017F17">
        <w:t xml:space="preserve">, having fully assessed the broker’s presentation. </w:t>
      </w:r>
    </w:p>
    <w:p w14:paraId="46F8D2E2" w14:textId="4D6521A2" w:rsidR="00017F17" w:rsidRDefault="00017F17" w:rsidP="00EF2531">
      <w:pPr>
        <w:pStyle w:val="ListParagraph"/>
        <w:numPr>
          <w:ilvl w:val="0"/>
          <w:numId w:val="1"/>
        </w:numPr>
        <w:ind w:left="357" w:hanging="357"/>
      </w:pPr>
      <w:r w:rsidRPr="00017F17">
        <w:t xml:space="preserve">Duplication of processes should be avoided and </w:t>
      </w:r>
      <w:r w:rsidR="00866334">
        <w:t>to meet Contract Certainty regulations</w:t>
      </w:r>
      <w:r w:rsidR="000E413E">
        <w:t xml:space="preserve">, </w:t>
      </w:r>
      <w:r w:rsidRPr="00017F17">
        <w:t xml:space="preserve">underwriter stamps </w:t>
      </w:r>
      <w:r w:rsidR="00B2740D">
        <w:t>should</w:t>
      </w:r>
      <w:r w:rsidRPr="00017F17">
        <w:t xml:space="preserve"> be applied once</w:t>
      </w:r>
      <w:r w:rsidR="00B2740D">
        <w:t>,</w:t>
      </w:r>
      <w:r w:rsidRPr="00017F17">
        <w:t xml:space="preserve"> via the relevant electronic </w:t>
      </w:r>
      <w:r w:rsidR="001D4D29">
        <w:t>P</w:t>
      </w:r>
      <w:r w:rsidRPr="00017F17">
        <w:t>lac</w:t>
      </w:r>
      <w:r w:rsidR="001D4D29">
        <w:t>ing</w:t>
      </w:r>
      <w:r w:rsidRPr="00017F17">
        <w:t xml:space="preserve"> </w:t>
      </w:r>
      <w:r w:rsidR="001D4D29">
        <w:t>P</w:t>
      </w:r>
      <w:r w:rsidR="00B2740D">
        <w:t>latform.</w:t>
      </w:r>
      <w:r w:rsidRPr="00017F17">
        <w:t xml:space="preserve"> </w:t>
      </w:r>
    </w:p>
    <w:p w14:paraId="452AB026" w14:textId="3976BDF9" w:rsidR="0075440F" w:rsidRPr="00017F17" w:rsidRDefault="009F2BE6" w:rsidP="00EF2531">
      <w:pPr>
        <w:pStyle w:val="ListParagraph"/>
        <w:numPr>
          <w:ilvl w:val="0"/>
          <w:numId w:val="1"/>
        </w:numPr>
        <w:ind w:left="357" w:hanging="357"/>
      </w:pPr>
      <w:r>
        <w:t xml:space="preserve">Brokers will </w:t>
      </w:r>
      <w:r w:rsidR="00F97DF6">
        <w:t>sign and close placements</w:t>
      </w:r>
      <w:r w:rsidR="00E94E17">
        <w:t xml:space="preserve"> via electronic Placing Platforms in a timely manner</w:t>
      </w:r>
      <w:r w:rsidR="000415D8">
        <w:t>.</w:t>
      </w:r>
      <w:r w:rsidR="00F97DF6">
        <w:t xml:space="preserve"> </w:t>
      </w:r>
    </w:p>
    <w:p w14:paraId="2CD469EF" w14:textId="4A74AD16" w:rsidR="00017F17" w:rsidRPr="00017F17" w:rsidRDefault="00253416" w:rsidP="00EF2531">
      <w:pPr>
        <w:pStyle w:val="ListParagraph"/>
        <w:numPr>
          <w:ilvl w:val="0"/>
          <w:numId w:val="1"/>
        </w:numPr>
        <w:ind w:left="357" w:hanging="357"/>
      </w:pPr>
      <w:r>
        <w:t xml:space="preserve">Brokers and </w:t>
      </w:r>
      <w:r w:rsidR="00EF4483">
        <w:t xml:space="preserve">carriers </w:t>
      </w:r>
      <w:r w:rsidR="00EF4483" w:rsidRPr="005A1DBB">
        <w:t>will</w:t>
      </w:r>
      <w:r w:rsidR="005A1DBB" w:rsidRPr="005A1DBB">
        <w:t xml:space="preserve"> monitor their organisation’s activity and response times on </w:t>
      </w:r>
      <w:r w:rsidR="000E413E">
        <w:t xml:space="preserve">electronic </w:t>
      </w:r>
      <w:r w:rsidR="001D4D29">
        <w:t>P</w:t>
      </w:r>
      <w:r w:rsidR="005A1DBB" w:rsidRPr="005A1DBB">
        <w:t xml:space="preserve">lacing </w:t>
      </w:r>
      <w:r w:rsidR="001D4D29">
        <w:t>P</w:t>
      </w:r>
      <w:r w:rsidR="005A1DBB" w:rsidRPr="005A1DBB">
        <w:t>latforms in accordance with th</w:t>
      </w:r>
      <w:r w:rsidR="00BF7BE9">
        <w:t>is</w:t>
      </w:r>
      <w:r w:rsidR="005A1DBB" w:rsidRPr="005A1DBB">
        <w:t xml:space="preserve"> guidance.</w:t>
      </w:r>
    </w:p>
    <w:p w14:paraId="3F9A3E86" w14:textId="7CE3AA24" w:rsidR="00AE51B0" w:rsidRDefault="00017F17" w:rsidP="00EF4543">
      <w:pPr>
        <w:pStyle w:val="ListParagraph"/>
        <w:numPr>
          <w:ilvl w:val="0"/>
          <w:numId w:val="1"/>
        </w:numPr>
        <w:ind w:left="357" w:hanging="357"/>
      </w:pPr>
      <w:r w:rsidRPr="00017F17">
        <w:t xml:space="preserve">Where users of electronic </w:t>
      </w:r>
      <w:r w:rsidR="001D4D29">
        <w:t>P</w:t>
      </w:r>
      <w:r w:rsidRPr="00017F17">
        <w:t>lac</w:t>
      </w:r>
      <w:r w:rsidR="001D4D29">
        <w:t>ing</w:t>
      </w:r>
      <w:r w:rsidRPr="00017F17">
        <w:t xml:space="preserve"> </w:t>
      </w:r>
      <w:r w:rsidR="001D4D29">
        <w:t>P</w:t>
      </w:r>
      <w:r w:rsidR="00BF7BE9">
        <w:t>latforms</w:t>
      </w:r>
      <w:r w:rsidRPr="00017F17">
        <w:t xml:space="preserve"> </w:t>
      </w:r>
      <w:r w:rsidR="003D11F3">
        <w:t>become</w:t>
      </w:r>
      <w:r w:rsidRPr="00017F17">
        <w:t xml:space="preserve"> aware that counterparts with whom they trade </w:t>
      </w:r>
      <w:r w:rsidR="00821E7F">
        <w:t xml:space="preserve">are </w:t>
      </w:r>
      <w:r w:rsidR="0091711D">
        <w:t xml:space="preserve">not </w:t>
      </w:r>
      <w:r w:rsidR="00D15C4A">
        <w:t xml:space="preserve">adhering to </w:t>
      </w:r>
      <w:r w:rsidR="00EB173A">
        <w:t xml:space="preserve">the </w:t>
      </w:r>
      <w:r w:rsidRPr="00017F17">
        <w:t>guidance</w:t>
      </w:r>
      <w:r w:rsidR="00EB173A">
        <w:t xml:space="preserve"> set out in this document</w:t>
      </w:r>
      <w:r w:rsidRPr="00017F17">
        <w:t xml:space="preserve">, the appropriate action will be to engage with the counterparty, either directly or via their trade association, </w:t>
      </w:r>
      <w:proofErr w:type="gramStart"/>
      <w:r w:rsidRPr="00017F17">
        <w:t>in order to</w:t>
      </w:r>
      <w:proofErr w:type="gramEnd"/>
      <w:r w:rsidRPr="00017F17">
        <w:t xml:space="preserve"> collaboratively address any issues</w:t>
      </w:r>
      <w:r w:rsidR="007F63A2">
        <w:t>.</w:t>
      </w:r>
    </w:p>
    <w:sectPr w:rsidR="00AE51B0" w:rsidSect="003528F0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20E4"/>
    <w:multiLevelType w:val="hybridMultilevel"/>
    <w:tmpl w:val="F01625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737B3"/>
    <w:multiLevelType w:val="multilevel"/>
    <w:tmpl w:val="9B860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5907364B"/>
    <w:multiLevelType w:val="hybridMultilevel"/>
    <w:tmpl w:val="F016253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0585289">
    <w:abstractNumId w:val="0"/>
  </w:num>
  <w:num w:numId="2" w16cid:durableId="512383404">
    <w:abstractNumId w:val="1"/>
  </w:num>
  <w:num w:numId="3" w16cid:durableId="659238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F"/>
    <w:rsid w:val="00017F17"/>
    <w:rsid w:val="00023C65"/>
    <w:rsid w:val="000347CC"/>
    <w:rsid w:val="000415D8"/>
    <w:rsid w:val="00050F3A"/>
    <w:rsid w:val="000519CD"/>
    <w:rsid w:val="0005284C"/>
    <w:rsid w:val="000617FB"/>
    <w:rsid w:val="00097AB5"/>
    <w:rsid w:val="000E413E"/>
    <w:rsid w:val="00102C1F"/>
    <w:rsid w:val="00106D80"/>
    <w:rsid w:val="0011325A"/>
    <w:rsid w:val="00141DE3"/>
    <w:rsid w:val="00147373"/>
    <w:rsid w:val="001509ED"/>
    <w:rsid w:val="00154D3F"/>
    <w:rsid w:val="00185EBC"/>
    <w:rsid w:val="0019737E"/>
    <w:rsid w:val="001C1ADA"/>
    <w:rsid w:val="001C5DDD"/>
    <w:rsid w:val="001D3253"/>
    <w:rsid w:val="001D341D"/>
    <w:rsid w:val="001D4D29"/>
    <w:rsid w:val="001E74A1"/>
    <w:rsid w:val="00201F55"/>
    <w:rsid w:val="00250B42"/>
    <w:rsid w:val="00253416"/>
    <w:rsid w:val="00253FA5"/>
    <w:rsid w:val="00261794"/>
    <w:rsid w:val="00266074"/>
    <w:rsid w:val="0029477B"/>
    <w:rsid w:val="002B7BFB"/>
    <w:rsid w:val="002E5A6C"/>
    <w:rsid w:val="0030723B"/>
    <w:rsid w:val="003224D8"/>
    <w:rsid w:val="00332BF4"/>
    <w:rsid w:val="003528F0"/>
    <w:rsid w:val="00361BA6"/>
    <w:rsid w:val="0036364E"/>
    <w:rsid w:val="00395A4F"/>
    <w:rsid w:val="003C47F5"/>
    <w:rsid w:val="003D11F3"/>
    <w:rsid w:val="003E07B4"/>
    <w:rsid w:val="003E233E"/>
    <w:rsid w:val="00423327"/>
    <w:rsid w:val="00474214"/>
    <w:rsid w:val="00496176"/>
    <w:rsid w:val="004A0011"/>
    <w:rsid w:val="004B08ED"/>
    <w:rsid w:val="004D35A9"/>
    <w:rsid w:val="004F6BDE"/>
    <w:rsid w:val="00537F2B"/>
    <w:rsid w:val="00541A81"/>
    <w:rsid w:val="005539BB"/>
    <w:rsid w:val="005A1DBB"/>
    <w:rsid w:val="005E740A"/>
    <w:rsid w:val="00623DEB"/>
    <w:rsid w:val="006421E1"/>
    <w:rsid w:val="00664648"/>
    <w:rsid w:val="006A536C"/>
    <w:rsid w:val="006B49B7"/>
    <w:rsid w:val="006D10F7"/>
    <w:rsid w:val="006D7FE1"/>
    <w:rsid w:val="006F65A8"/>
    <w:rsid w:val="0071029A"/>
    <w:rsid w:val="007539CC"/>
    <w:rsid w:val="0075440F"/>
    <w:rsid w:val="00757523"/>
    <w:rsid w:val="00762E0C"/>
    <w:rsid w:val="007A30A9"/>
    <w:rsid w:val="007B6B7E"/>
    <w:rsid w:val="007F63A2"/>
    <w:rsid w:val="00821E7F"/>
    <w:rsid w:val="00843CB2"/>
    <w:rsid w:val="00866334"/>
    <w:rsid w:val="00883959"/>
    <w:rsid w:val="008841E4"/>
    <w:rsid w:val="00886BDF"/>
    <w:rsid w:val="00896596"/>
    <w:rsid w:val="008A11F1"/>
    <w:rsid w:val="008A15A5"/>
    <w:rsid w:val="008B6821"/>
    <w:rsid w:val="008D3D7F"/>
    <w:rsid w:val="008D5DB7"/>
    <w:rsid w:val="008E457B"/>
    <w:rsid w:val="008F0C43"/>
    <w:rsid w:val="008F0F31"/>
    <w:rsid w:val="009135D8"/>
    <w:rsid w:val="0091711D"/>
    <w:rsid w:val="00924C9F"/>
    <w:rsid w:val="00930AB2"/>
    <w:rsid w:val="00931157"/>
    <w:rsid w:val="009320B8"/>
    <w:rsid w:val="00957BD2"/>
    <w:rsid w:val="00986A3E"/>
    <w:rsid w:val="009951CD"/>
    <w:rsid w:val="009A5A76"/>
    <w:rsid w:val="009D16C7"/>
    <w:rsid w:val="009E6712"/>
    <w:rsid w:val="009F2BE6"/>
    <w:rsid w:val="00A07ED8"/>
    <w:rsid w:val="00A577E6"/>
    <w:rsid w:val="00A70167"/>
    <w:rsid w:val="00A86868"/>
    <w:rsid w:val="00A87BB3"/>
    <w:rsid w:val="00A966D2"/>
    <w:rsid w:val="00AA67E1"/>
    <w:rsid w:val="00AD6258"/>
    <w:rsid w:val="00AE51B0"/>
    <w:rsid w:val="00AE6F4C"/>
    <w:rsid w:val="00B20028"/>
    <w:rsid w:val="00B2740D"/>
    <w:rsid w:val="00B419BD"/>
    <w:rsid w:val="00B652A3"/>
    <w:rsid w:val="00BB13F4"/>
    <w:rsid w:val="00BD48AF"/>
    <w:rsid w:val="00BE0ECC"/>
    <w:rsid w:val="00BE3950"/>
    <w:rsid w:val="00BF6EA7"/>
    <w:rsid w:val="00BF7BE9"/>
    <w:rsid w:val="00C14F6F"/>
    <w:rsid w:val="00C350B0"/>
    <w:rsid w:val="00C873F9"/>
    <w:rsid w:val="00CA148B"/>
    <w:rsid w:val="00CB4DA8"/>
    <w:rsid w:val="00CC74BE"/>
    <w:rsid w:val="00CF37CF"/>
    <w:rsid w:val="00CF46C0"/>
    <w:rsid w:val="00D06234"/>
    <w:rsid w:val="00D15C4A"/>
    <w:rsid w:val="00D24985"/>
    <w:rsid w:val="00D24CF0"/>
    <w:rsid w:val="00D32601"/>
    <w:rsid w:val="00D34653"/>
    <w:rsid w:val="00D47AB9"/>
    <w:rsid w:val="00D529D0"/>
    <w:rsid w:val="00D638C4"/>
    <w:rsid w:val="00DB607A"/>
    <w:rsid w:val="00DD2A03"/>
    <w:rsid w:val="00DE0BC3"/>
    <w:rsid w:val="00DE36C0"/>
    <w:rsid w:val="00E13175"/>
    <w:rsid w:val="00E417F4"/>
    <w:rsid w:val="00E55E30"/>
    <w:rsid w:val="00E6101F"/>
    <w:rsid w:val="00E90598"/>
    <w:rsid w:val="00E94E17"/>
    <w:rsid w:val="00EB173A"/>
    <w:rsid w:val="00ED0E6B"/>
    <w:rsid w:val="00EE035D"/>
    <w:rsid w:val="00EF2531"/>
    <w:rsid w:val="00EF4483"/>
    <w:rsid w:val="00EF4543"/>
    <w:rsid w:val="00F34A1D"/>
    <w:rsid w:val="00F3677B"/>
    <w:rsid w:val="00F442C4"/>
    <w:rsid w:val="00F66C82"/>
    <w:rsid w:val="00F97DF6"/>
    <w:rsid w:val="00FA7372"/>
    <w:rsid w:val="00FB0231"/>
    <w:rsid w:val="00FC03ED"/>
    <w:rsid w:val="00FD731A"/>
    <w:rsid w:val="00FF0454"/>
    <w:rsid w:val="00FF73E6"/>
    <w:rsid w:val="2AF9468A"/>
    <w:rsid w:val="403B191B"/>
    <w:rsid w:val="6C1EE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A0F8"/>
  <w15:chartTrackingRefBased/>
  <w15:docId w15:val="{285BA60E-E9EA-412A-99BE-B82B971C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BD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253FA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D3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3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3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5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61cfb8e2-2568-4286-b7e9-7c1fcac7ee85">
      <Terms xmlns="http://schemas.microsoft.com/office/infopath/2007/PartnerControls"/>
    </TaxKeywordTaxHTField>
    <TaxCatchAll xmlns="61cfb8e2-2568-4286-b7e9-7c1fcac7ee85" xsi:nil="true"/>
    <lcf76f155ced4ddcb4097134ff3c332f xmlns="e26eaff9-5d63-4a8c-9e1b-97a41c9424f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UA Document" ma:contentTypeID="0x01010091219297FB354F0EA4120E5F50B9171F000C12EB22DDCE014E9177B0139B1B6290" ma:contentTypeVersion="20" ma:contentTypeDescription="" ma:contentTypeScope="" ma:versionID="95704450d9033cc409a537f575f2d9b7">
  <xsd:schema xmlns:xsd="http://www.w3.org/2001/XMLSchema" xmlns:xs="http://www.w3.org/2001/XMLSchema" xmlns:p="http://schemas.microsoft.com/office/2006/metadata/properties" xmlns:ns2="61cfb8e2-2568-4286-b7e9-7c1fcac7ee85" xmlns:ns3="e26eaff9-5d63-4a8c-9e1b-97a41c9424f1" xmlns:ns4="00c3e923-e8f1-48e9-b6d6-64c94ce2bf0f" targetNamespace="http://schemas.microsoft.com/office/2006/metadata/properties" ma:root="true" ma:fieldsID="73438cd745a7385a738d4d7feed62439" ns2:_="" ns3:_="" ns4:_="">
    <xsd:import namespace="61cfb8e2-2568-4286-b7e9-7c1fcac7ee85"/>
    <xsd:import namespace="e26eaff9-5d63-4a8c-9e1b-97a41c9424f1"/>
    <xsd:import namespace="00c3e923-e8f1-48e9-b6d6-64c94ce2bf0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fb8e2-2568-4286-b7e9-7c1fcac7ee8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f717f9b3-2bf3-40b4-8a38-0092ff3e2f6c}" ma:internalName="TaxCatchAll" ma:showField="CatchAllData" ma:web="00c3e923-e8f1-48e9-b6d6-64c94ce2b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717f9b3-2bf3-40b4-8a38-0092ff3e2f6c}" ma:internalName="TaxCatchAllLabel" ma:readOnly="true" ma:showField="CatchAllDataLabel" ma:web="00c3e923-e8f1-48e9-b6d6-64c94ce2b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7490ff78-a7be-49bd-8fc7-60286676ba5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eaff9-5d63-4a8c-9e1b-97a41c942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490ff78-a7be-49bd-8fc7-60286676ba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3e923-e8f1-48e9-b6d6-64c94ce2bf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76B0D9-E21D-429F-8877-E3A0787E4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FF960-1FA7-4FDC-8577-06EC47D146C2}">
  <ds:schemaRefs>
    <ds:schemaRef ds:uri="http://schemas.microsoft.com/office/2006/metadata/properties"/>
    <ds:schemaRef ds:uri="http://schemas.microsoft.com/office/infopath/2007/PartnerControls"/>
    <ds:schemaRef ds:uri="61cfb8e2-2568-4286-b7e9-7c1fcac7ee85"/>
    <ds:schemaRef ds:uri="e26eaff9-5d63-4a8c-9e1b-97a41c9424f1"/>
  </ds:schemaRefs>
</ds:datastoreItem>
</file>

<file path=customXml/itemProps3.xml><?xml version="1.0" encoding="utf-8"?>
<ds:datastoreItem xmlns:ds="http://schemas.openxmlformats.org/officeDocument/2006/customXml" ds:itemID="{56AF7030-A5BE-4090-933A-B64BC853B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cfb8e2-2568-4286-b7e9-7c1fcac7ee85"/>
    <ds:schemaRef ds:uri="e26eaff9-5d63-4a8c-9e1b-97a41c9424f1"/>
    <ds:schemaRef ds:uri="00c3e923-e8f1-48e9-b6d6-64c94ce2b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2676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Bloomfield</dc:creator>
  <cp:keywords/>
  <dc:description/>
  <cp:lastModifiedBy>Scott Farley</cp:lastModifiedBy>
  <cp:revision>2</cp:revision>
  <dcterms:created xsi:type="dcterms:W3CDTF">2025-11-25T13:30:00Z</dcterms:created>
  <dcterms:modified xsi:type="dcterms:W3CDTF">2025-11-25T13:30:00Z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0x01010091219297FB354F0EA4120E5F50B9171F000C12EB22DDCE014E9177B0139B1B6290</vt:lpwstr>
  </property>
  <property fmtid="{D5CDD505-2E9C-101B-9397-08002B2CF9AE}" pid="3" name="TaxKeyword">
    <vt:lpwstr/>
  </property>
</Properties>
</file>